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on="f" color2="#FFFFFF" focus="0%"/>
    </v:background>
  </w:background>
  <w:body>
    <w:p>
      <w:pPr>
        <w:jc w:val="center"/>
        <w:rPr>
          <w:rStyle w:val="6"/>
          <w:rFonts w:hint="eastAsia" w:ascii="楷体" w:hAnsi="楷体" w:eastAsia="楷体"/>
          <w:b w:val="0"/>
          <w:color w:val="FF3333"/>
          <w:sz w:val="36"/>
          <w:szCs w:val="27"/>
        </w:rPr>
      </w:pPr>
      <w:r>
        <w:rPr>
          <w:rStyle w:val="6"/>
          <w:rFonts w:hint="eastAsia" w:ascii="楷体" w:hAnsi="楷体" w:eastAsia="楷体"/>
          <w:b w:val="0"/>
          <w:color w:val="FF3333"/>
          <w:sz w:val="36"/>
          <w:szCs w:val="27"/>
        </w:rPr>
        <w:t>青岛农业大学</w:t>
      </w:r>
    </w:p>
    <w:p>
      <w:pPr>
        <w:jc w:val="center"/>
        <w:rPr>
          <w:rStyle w:val="6"/>
          <w:rFonts w:hint="eastAsia" w:ascii="楷体" w:hAnsi="楷体" w:eastAsia="楷体"/>
          <w:b w:val="0"/>
          <w:color w:val="FF3333"/>
          <w:sz w:val="36"/>
          <w:szCs w:val="27"/>
        </w:rPr>
      </w:pPr>
      <w:r>
        <w:rPr>
          <w:rStyle w:val="6"/>
          <w:rFonts w:hint="eastAsia" w:ascii="楷体" w:hAnsi="楷体" w:eastAsia="楷体"/>
          <w:b w:val="0"/>
          <w:color w:val="FF3333"/>
          <w:sz w:val="36"/>
          <w:szCs w:val="27"/>
        </w:rPr>
        <w:t>动物科技学院研究生学业奖学金评选办法</w:t>
      </w:r>
    </w:p>
    <w:p>
      <w:pPr>
        <w:jc w:val="center"/>
        <w:rPr>
          <w:rFonts w:hint="eastAsia" w:ascii="仿宋_GB2312" w:eastAsia="仿宋_GB2312"/>
          <w:sz w:val="30"/>
          <w:szCs w:val="30"/>
        </w:rPr>
      </w:pPr>
      <w:r>
        <w:rPr>
          <w:rFonts w:hint="eastAsia" w:ascii="仿宋_GB2312" w:eastAsia="仿宋_GB2312"/>
          <w:sz w:val="30"/>
          <w:szCs w:val="30"/>
        </w:rPr>
        <w:t>第一章  总则</w:t>
      </w:r>
    </w:p>
    <w:p>
      <w:pPr>
        <w:ind w:firstLine="600" w:firstLineChars="200"/>
        <w:jc w:val="left"/>
        <w:rPr>
          <w:rFonts w:hint="eastAsia" w:ascii="仿宋_GB2312" w:eastAsia="仿宋_GB2312"/>
          <w:sz w:val="30"/>
          <w:szCs w:val="30"/>
        </w:rPr>
      </w:pPr>
      <w:r>
        <w:rPr>
          <w:rFonts w:hint="eastAsia" w:ascii="仿宋_GB2312" w:eastAsia="仿宋_GB2312"/>
          <w:sz w:val="30"/>
          <w:szCs w:val="30"/>
        </w:rPr>
        <w:t>第一条  为激励我院研究生潜心学习,创新研究,提高研究生培养质量.根据《青岛农业大学研究生奖助学金管理办法》(青农大校字[2014]141号),结合我院实际情况,制定该管理办法.</w:t>
      </w:r>
    </w:p>
    <w:p>
      <w:pPr>
        <w:ind w:firstLine="600" w:firstLineChars="200"/>
        <w:jc w:val="center"/>
        <w:rPr>
          <w:rFonts w:hint="eastAsia" w:ascii="仿宋_GB2312" w:eastAsia="仿宋_GB2312"/>
          <w:sz w:val="30"/>
          <w:szCs w:val="30"/>
        </w:rPr>
      </w:pPr>
      <w:r>
        <w:rPr>
          <w:rFonts w:hint="eastAsia" w:ascii="仿宋_GB2312" w:eastAsia="仿宋_GB2312"/>
          <w:sz w:val="30"/>
          <w:szCs w:val="30"/>
        </w:rPr>
        <w:t>第二章  评选指标</w:t>
      </w:r>
    </w:p>
    <w:p>
      <w:pPr>
        <w:ind w:firstLine="600" w:firstLineChars="200"/>
        <w:jc w:val="left"/>
        <w:rPr>
          <w:rFonts w:hint="eastAsia" w:ascii="仿宋_GB2312" w:eastAsia="仿宋_GB2312"/>
          <w:sz w:val="30"/>
          <w:szCs w:val="30"/>
        </w:rPr>
      </w:pPr>
      <w:r>
        <w:rPr>
          <w:rFonts w:hint="eastAsia" w:ascii="仿宋_GB2312" w:eastAsia="仿宋_GB2312"/>
          <w:sz w:val="30"/>
          <w:szCs w:val="30"/>
        </w:rPr>
        <w:t>第二条  该办法适应于全日制在校一年级研究生，不含研究生二年级、三年级及休学和延期毕业研究生；</w:t>
      </w:r>
    </w:p>
    <w:p>
      <w:pPr>
        <w:ind w:firstLine="600" w:firstLineChars="200"/>
        <w:jc w:val="left"/>
        <w:rPr>
          <w:rFonts w:hint="eastAsia" w:ascii="仿宋_GB2312" w:eastAsia="仿宋_GB2312"/>
          <w:sz w:val="30"/>
          <w:szCs w:val="30"/>
        </w:rPr>
      </w:pPr>
      <w:r>
        <w:rPr>
          <w:rFonts w:hint="eastAsia" w:ascii="仿宋_GB2312" w:eastAsia="仿宋_GB2312"/>
          <w:sz w:val="30"/>
          <w:szCs w:val="30"/>
        </w:rPr>
        <w:t>第三条  研究生学业奖学金的设置标准与名额分配比例依据当年度下发的</w:t>
      </w:r>
      <w:r>
        <w:rPr>
          <w:rFonts w:ascii="仿宋_GB2312" w:eastAsia="仿宋_GB2312"/>
          <w:sz w:val="30"/>
          <w:szCs w:val="30"/>
        </w:rPr>
        <w:t>研究生</w:t>
      </w:r>
      <w:r>
        <w:rPr>
          <w:rFonts w:hint="eastAsia" w:ascii="仿宋_GB2312" w:eastAsia="仿宋_GB2312"/>
          <w:sz w:val="30"/>
          <w:szCs w:val="30"/>
        </w:rPr>
        <w:t>学业</w:t>
      </w:r>
      <w:r>
        <w:rPr>
          <w:rFonts w:ascii="仿宋_GB2312" w:eastAsia="仿宋_GB2312"/>
          <w:sz w:val="30"/>
          <w:szCs w:val="30"/>
        </w:rPr>
        <w:t>奖学金</w:t>
      </w:r>
      <w:r>
        <w:rPr>
          <w:rFonts w:hint="eastAsia" w:ascii="仿宋_GB2312" w:eastAsia="仿宋_GB2312"/>
          <w:sz w:val="30"/>
          <w:szCs w:val="30"/>
        </w:rPr>
        <w:t>评选</w:t>
      </w:r>
      <w:r>
        <w:rPr>
          <w:rFonts w:ascii="仿宋_GB2312" w:eastAsia="仿宋_GB2312"/>
          <w:sz w:val="30"/>
          <w:szCs w:val="30"/>
        </w:rPr>
        <w:t>通知</w:t>
      </w:r>
      <w:r>
        <w:rPr>
          <w:rFonts w:hint="eastAsia" w:ascii="仿宋_GB2312" w:eastAsia="仿宋_GB2312"/>
          <w:sz w:val="30"/>
          <w:szCs w:val="30"/>
        </w:rPr>
        <w:t>要求设置，研究生一年级学生优先评选第一志愿报考我院的研究生，分畜牧学和兽医学按学术型硕士和专业型硕士依据比例单独推荐评选。</w:t>
      </w:r>
    </w:p>
    <w:p>
      <w:pPr>
        <w:ind w:firstLine="600" w:firstLineChars="200"/>
        <w:jc w:val="left"/>
        <w:rPr>
          <w:rFonts w:hint="eastAsia" w:ascii="仿宋_GB2312" w:eastAsia="仿宋_GB2312"/>
          <w:sz w:val="30"/>
          <w:szCs w:val="30"/>
        </w:rPr>
      </w:pPr>
      <w:r>
        <w:rPr>
          <w:rFonts w:hint="eastAsia" w:ascii="仿宋_GB2312" w:eastAsia="仿宋_GB2312"/>
          <w:sz w:val="30"/>
          <w:szCs w:val="30"/>
        </w:rPr>
        <w:t>第四条  奖项设置</w:t>
      </w:r>
    </w:p>
    <w:p>
      <w:pPr>
        <w:adjustRightInd w:val="0"/>
        <w:snapToGrid w:val="0"/>
        <w:spacing w:line="360" w:lineRule="auto"/>
        <w:ind w:firstLine="600" w:firstLineChars="200"/>
        <w:rPr>
          <w:rFonts w:hint="eastAsia" w:ascii="仿宋_GB2312" w:eastAsia="仿宋_GB2312"/>
          <w:sz w:val="30"/>
          <w:szCs w:val="30"/>
        </w:rPr>
      </w:pPr>
      <w:r>
        <w:rPr>
          <w:rFonts w:hint="eastAsia" w:ascii="仿宋_GB2312" w:eastAsia="仿宋_GB2312"/>
          <w:sz w:val="30"/>
          <w:szCs w:val="30"/>
        </w:rPr>
        <w:t>研究生学业奖学金分为一等、二等和三等奖，奖励比例分为总人数的10%、15%和75%，奖励标准分别为每生每年5000元、3000元和2000元，奖金一次性发放。</w:t>
      </w:r>
    </w:p>
    <w:p>
      <w:pPr>
        <w:ind w:firstLine="600" w:firstLineChars="200"/>
        <w:jc w:val="left"/>
        <w:rPr>
          <w:rFonts w:hint="eastAsia" w:ascii="仿宋_GB2312" w:eastAsia="仿宋_GB2312"/>
          <w:sz w:val="30"/>
          <w:szCs w:val="30"/>
        </w:rPr>
      </w:pPr>
      <w:r>
        <w:rPr>
          <w:rFonts w:hint="eastAsia" w:ascii="仿宋_GB2312" w:eastAsia="仿宋_GB2312"/>
          <w:sz w:val="30"/>
          <w:szCs w:val="30"/>
        </w:rPr>
        <w:t>第五条  研究生学业奖学金评选指标</w:t>
      </w:r>
    </w:p>
    <w:p>
      <w:pPr>
        <w:ind w:firstLine="600" w:firstLineChars="200"/>
        <w:jc w:val="left"/>
        <w:rPr>
          <w:rFonts w:hint="eastAsia" w:ascii="仿宋_GB2312" w:eastAsia="仿宋_GB2312"/>
          <w:sz w:val="30"/>
          <w:szCs w:val="30"/>
        </w:rPr>
      </w:pPr>
      <w:r>
        <w:rPr>
          <w:rFonts w:hint="eastAsia" w:ascii="仿宋_GB2312" w:eastAsia="仿宋_GB2312"/>
          <w:sz w:val="30"/>
          <w:szCs w:val="30"/>
        </w:rPr>
        <w:t>研究生一年级学业奖学金依据研究生初试成绩、复试成绩、初试英语成绩、复试英语成绩、面试成绩等综合情况，量化评分。计分方式为：</w:t>
      </w:r>
      <w:r>
        <w:rPr>
          <w:rFonts w:hint="eastAsia" w:ascii="仿宋_GB2312" w:eastAsia="仿宋_GB2312"/>
          <w:color w:val="FF0000"/>
          <w:sz w:val="30"/>
          <w:szCs w:val="30"/>
        </w:rPr>
        <w:t>总分=初试成绩×30%＋复试成绩20%×＋初试英语成绩×25%＋复试英语成绩（复试英语口语×30%+复试英语笔试×70%）×15%＋面试成绩×10%.</w:t>
      </w:r>
    </w:p>
    <w:p>
      <w:pPr>
        <w:ind w:firstLine="600" w:firstLineChars="200"/>
        <w:jc w:val="left"/>
        <w:rPr>
          <w:rFonts w:hint="eastAsia" w:ascii="仿宋_GB2312" w:eastAsia="仿宋_GB2312"/>
          <w:sz w:val="30"/>
          <w:szCs w:val="30"/>
        </w:rPr>
      </w:pPr>
      <w:r>
        <w:rPr>
          <w:rFonts w:hint="eastAsia" w:ascii="仿宋_GB2312" w:eastAsia="仿宋_GB2312"/>
          <w:sz w:val="30"/>
          <w:szCs w:val="30"/>
        </w:rPr>
        <w:t>第六条  凡有以下情况者，依据情节严重程度降低学业奖学金评定等级。</w:t>
      </w:r>
    </w:p>
    <w:p>
      <w:pPr>
        <w:adjustRightInd w:val="0"/>
        <w:snapToGrid w:val="0"/>
        <w:spacing w:before="156" w:beforeLines="50" w:after="156" w:afterLines="50" w:line="360" w:lineRule="auto"/>
        <w:ind w:firstLine="600" w:firstLineChars="200"/>
        <w:rPr>
          <w:rFonts w:ascii="仿宋_GB2312" w:eastAsia="仿宋_GB2312"/>
          <w:sz w:val="30"/>
          <w:szCs w:val="30"/>
        </w:rPr>
      </w:pPr>
      <w:r>
        <w:rPr>
          <w:rFonts w:hint="eastAsia" w:ascii="仿宋_GB2312" w:eastAsia="仿宋_GB2312"/>
          <w:sz w:val="30"/>
          <w:szCs w:val="30"/>
        </w:rPr>
        <w:t>1、违反国家法纪法规、受到学校、学院纪律处分者；</w:t>
      </w:r>
    </w:p>
    <w:p>
      <w:pPr>
        <w:adjustRightInd w:val="0"/>
        <w:snapToGrid w:val="0"/>
        <w:spacing w:before="156" w:beforeLines="50" w:after="156" w:afterLines="50" w:line="360" w:lineRule="auto"/>
        <w:ind w:firstLine="600" w:firstLineChars="200"/>
        <w:rPr>
          <w:rFonts w:ascii="仿宋_GB2312" w:eastAsia="仿宋_GB2312"/>
          <w:sz w:val="30"/>
          <w:szCs w:val="30"/>
        </w:rPr>
      </w:pPr>
      <w:r>
        <w:rPr>
          <w:rFonts w:hint="eastAsia" w:ascii="仿宋_GB2312" w:eastAsia="仿宋_GB2312"/>
          <w:sz w:val="30"/>
          <w:szCs w:val="30"/>
        </w:rPr>
        <w:t>2、开题报告未能一次通过者；</w:t>
      </w:r>
    </w:p>
    <w:p>
      <w:pPr>
        <w:adjustRightInd w:val="0"/>
        <w:snapToGrid w:val="0"/>
        <w:spacing w:before="156" w:beforeLines="50" w:after="156" w:afterLines="50" w:line="360" w:lineRule="auto"/>
        <w:ind w:firstLine="600" w:firstLineChars="200"/>
        <w:rPr>
          <w:rFonts w:ascii="仿宋_GB2312" w:eastAsia="仿宋_GB2312"/>
          <w:sz w:val="30"/>
          <w:szCs w:val="30"/>
        </w:rPr>
      </w:pPr>
      <w:r>
        <w:rPr>
          <w:rFonts w:hint="eastAsia" w:ascii="仿宋_GB2312" w:eastAsia="仿宋_GB2312"/>
          <w:sz w:val="30"/>
          <w:szCs w:val="30"/>
        </w:rPr>
        <w:t>3、在学习（术）研究中有弄虚作假行为者；</w:t>
      </w:r>
    </w:p>
    <w:p>
      <w:pPr>
        <w:adjustRightInd w:val="0"/>
        <w:snapToGrid w:val="0"/>
        <w:spacing w:before="156" w:beforeLines="50" w:after="156" w:afterLines="50" w:line="360" w:lineRule="auto"/>
        <w:ind w:firstLine="600" w:firstLineChars="200"/>
        <w:rPr>
          <w:rFonts w:hint="eastAsia" w:ascii="仿宋_GB2312" w:eastAsia="仿宋_GB2312"/>
          <w:sz w:val="30"/>
          <w:szCs w:val="30"/>
        </w:rPr>
      </w:pPr>
      <w:r>
        <w:rPr>
          <w:rFonts w:hint="eastAsia" w:ascii="仿宋_GB2312" w:eastAsia="仿宋_GB2312"/>
          <w:sz w:val="30"/>
          <w:szCs w:val="30"/>
        </w:rPr>
        <w:t>4、在科研工作中造成重大事故及损失者；</w:t>
      </w:r>
    </w:p>
    <w:p>
      <w:pPr>
        <w:adjustRightInd w:val="0"/>
        <w:snapToGrid w:val="0"/>
        <w:spacing w:before="156" w:beforeLines="50" w:after="156" w:afterLines="50" w:line="360" w:lineRule="auto"/>
        <w:ind w:firstLine="600" w:firstLineChars="200"/>
        <w:rPr>
          <w:rFonts w:hint="eastAsia" w:ascii="仿宋_GB2312" w:eastAsia="仿宋_GB2312"/>
          <w:sz w:val="30"/>
          <w:szCs w:val="30"/>
        </w:rPr>
      </w:pPr>
      <w:r>
        <w:rPr>
          <w:rFonts w:hint="eastAsia" w:ascii="仿宋_GB2312" w:eastAsia="仿宋_GB2312"/>
          <w:sz w:val="30"/>
          <w:szCs w:val="30"/>
        </w:rPr>
        <w:t>第七条  凡有以下情况者，可视情况优先推荐</w:t>
      </w:r>
    </w:p>
    <w:p>
      <w:pPr>
        <w:adjustRightInd w:val="0"/>
        <w:snapToGrid w:val="0"/>
        <w:spacing w:before="156" w:beforeLines="50" w:after="156" w:afterLines="50" w:line="360" w:lineRule="auto"/>
        <w:ind w:firstLine="600" w:firstLineChars="200"/>
        <w:rPr>
          <w:rFonts w:ascii="仿宋_GB2312" w:eastAsia="仿宋_GB2312"/>
          <w:sz w:val="30"/>
          <w:szCs w:val="30"/>
        </w:rPr>
      </w:pPr>
      <w:r>
        <w:rPr>
          <w:rFonts w:hint="eastAsia" w:ascii="仿宋_GB2312" w:eastAsia="仿宋_GB2312"/>
          <w:sz w:val="30"/>
          <w:szCs w:val="30"/>
        </w:rPr>
        <w:t>（1）在学术研究上取得显著成绩，以第一作者身份，青岛农业大学为第一署名单位，发表的论文被SCI收录的(需有收录证明)；</w:t>
      </w:r>
    </w:p>
    <w:p>
      <w:pPr>
        <w:adjustRightInd w:val="0"/>
        <w:snapToGrid w:val="0"/>
        <w:spacing w:before="156" w:beforeLines="50" w:after="156" w:afterLines="50" w:line="360" w:lineRule="auto"/>
        <w:ind w:firstLine="600" w:firstLineChars="200"/>
        <w:rPr>
          <w:rFonts w:ascii="仿宋_GB2312" w:eastAsia="仿宋_GB2312"/>
          <w:sz w:val="30"/>
          <w:szCs w:val="30"/>
        </w:rPr>
      </w:pPr>
      <w:r>
        <w:rPr>
          <w:rFonts w:hint="eastAsia" w:ascii="仿宋_GB2312" w:eastAsia="仿宋_GB2312"/>
          <w:sz w:val="30"/>
          <w:szCs w:val="30"/>
        </w:rPr>
        <w:t>（2）本人（排名第一位）获得与本专业相关的国家发明专利1项（含）以上的。</w:t>
      </w:r>
    </w:p>
    <w:p>
      <w:pPr>
        <w:adjustRightInd w:val="0"/>
        <w:snapToGrid w:val="0"/>
        <w:spacing w:before="156" w:beforeLines="50" w:after="156" w:afterLines="50" w:line="360" w:lineRule="auto"/>
        <w:ind w:firstLine="600" w:firstLineChars="200"/>
        <w:rPr>
          <w:rFonts w:ascii="仿宋_GB2312" w:eastAsia="仿宋_GB2312"/>
          <w:sz w:val="30"/>
          <w:szCs w:val="30"/>
        </w:rPr>
      </w:pPr>
      <w:r>
        <w:rPr>
          <w:rFonts w:hint="eastAsia" w:ascii="仿宋_GB2312" w:eastAsia="仿宋_GB2312"/>
          <w:sz w:val="30"/>
          <w:szCs w:val="30"/>
        </w:rPr>
        <w:t>（3）在国际或全国性专业学科（术）竞赛、课外科技竞赛等竞赛中获一等奖（或金奖）的。</w:t>
      </w:r>
    </w:p>
    <w:p>
      <w:pPr>
        <w:adjustRightInd w:val="0"/>
        <w:snapToGrid w:val="0"/>
        <w:spacing w:before="156" w:beforeLines="50" w:after="156" w:afterLines="50" w:line="360" w:lineRule="auto"/>
        <w:ind w:firstLine="600" w:firstLineChars="200"/>
        <w:rPr>
          <w:rFonts w:ascii="仿宋_GB2312" w:eastAsia="仿宋_GB2312"/>
          <w:sz w:val="30"/>
          <w:szCs w:val="30"/>
        </w:rPr>
      </w:pPr>
      <w:r>
        <w:rPr>
          <w:rFonts w:hint="eastAsia" w:ascii="仿宋_GB2312" w:eastAsia="仿宋_GB2312"/>
          <w:sz w:val="30"/>
          <w:szCs w:val="30"/>
        </w:rPr>
        <w:t>（4）全面发展，综合能力突出，积极参加各类学院工作、文化活动、社会实践和志愿服务，并取得良好工作业绩的（有证书）。</w:t>
      </w:r>
    </w:p>
    <w:p>
      <w:pPr>
        <w:adjustRightInd w:val="0"/>
        <w:snapToGrid w:val="0"/>
        <w:spacing w:before="156" w:beforeLines="50" w:after="156" w:afterLines="50" w:line="360" w:lineRule="auto"/>
        <w:ind w:firstLine="600" w:firstLineChars="200"/>
        <w:jc w:val="center"/>
        <w:rPr>
          <w:rFonts w:ascii="仿宋_GB2312" w:eastAsia="仿宋_GB2312"/>
          <w:sz w:val="30"/>
          <w:szCs w:val="30"/>
        </w:rPr>
      </w:pPr>
      <w:r>
        <w:rPr>
          <w:rFonts w:hint="eastAsia" w:ascii="仿宋_GB2312" w:eastAsia="仿宋_GB2312"/>
          <w:sz w:val="30"/>
          <w:szCs w:val="30"/>
        </w:rPr>
        <w:t>第三章  评审委员会</w:t>
      </w:r>
    </w:p>
    <w:p>
      <w:pPr>
        <w:adjustRightInd w:val="0"/>
        <w:snapToGrid w:val="0"/>
        <w:spacing w:before="156" w:beforeLines="50" w:after="156" w:afterLines="50" w:line="360" w:lineRule="auto"/>
        <w:ind w:firstLine="600" w:firstLineChars="200"/>
        <w:rPr>
          <w:rFonts w:ascii="仿宋_GB2312" w:eastAsia="仿宋_GB2312"/>
          <w:sz w:val="30"/>
          <w:szCs w:val="30"/>
        </w:rPr>
      </w:pPr>
      <w:r>
        <w:rPr>
          <w:rFonts w:hint="eastAsia" w:ascii="仿宋_GB2312" w:eastAsia="仿宋_GB2312"/>
          <w:sz w:val="30"/>
          <w:szCs w:val="30"/>
        </w:rPr>
        <w:t>第八条 根据学校相关文件规定，成立动科学院研究生学业奖学金评审领导小组和评审委员会。评审委员会设在学院学生工作办公室。动科学院学业奖学金评审领导小组如下：</w:t>
      </w:r>
    </w:p>
    <w:p>
      <w:pPr>
        <w:adjustRightInd w:val="0"/>
        <w:snapToGrid w:val="0"/>
        <w:spacing w:before="156" w:beforeLines="50" w:after="156" w:afterLines="50" w:line="360" w:lineRule="auto"/>
        <w:ind w:firstLine="600" w:firstLineChars="200"/>
        <w:rPr>
          <w:rFonts w:ascii="仿宋_GB2312" w:eastAsia="仿宋_GB2312"/>
          <w:sz w:val="30"/>
          <w:szCs w:val="30"/>
        </w:rPr>
      </w:pPr>
      <w:r>
        <w:rPr>
          <w:rFonts w:hint="eastAsia" w:ascii="仿宋_GB2312" w:eastAsia="仿宋_GB2312"/>
          <w:sz w:val="30"/>
          <w:szCs w:val="30"/>
        </w:rPr>
        <w:t>组长：单  虎、潘庆杰</w:t>
      </w:r>
    </w:p>
    <w:p>
      <w:pPr>
        <w:adjustRightInd w:val="0"/>
        <w:snapToGrid w:val="0"/>
        <w:spacing w:before="156" w:beforeLines="50" w:after="156" w:afterLines="50" w:line="360" w:lineRule="auto"/>
        <w:ind w:firstLine="600" w:firstLineChars="200"/>
        <w:rPr>
          <w:rFonts w:hint="eastAsia" w:ascii="仿宋_GB2312" w:eastAsia="仿宋_GB2312"/>
          <w:sz w:val="30"/>
          <w:szCs w:val="30"/>
        </w:rPr>
      </w:pPr>
      <w:r>
        <w:rPr>
          <w:rFonts w:hint="eastAsia" w:ascii="仿宋_GB2312" w:eastAsia="仿宋_GB2312"/>
          <w:sz w:val="30"/>
          <w:szCs w:val="30"/>
        </w:rPr>
        <w:t>组员：田文儒、柳  楠、白连万、姜建阳</w:t>
      </w:r>
    </w:p>
    <w:p>
      <w:pPr>
        <w:adjustRightInd w:val="0"/>
        <w:snapToGrid w:val="0"/>
        <w:spacing w:before="156" w:beforeLines="50" w:after="156" w:afterLines="50" w:line="360" w:lineRule="auto"/>
        <w:ind w:firstLine="600" w:firstLineChars="200"/>
        <w:rPr>
          <w:rFonts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韩先杰</w:t>
      </w:r>
      <w:r>
        <w:rPr>
          <w:rFonts w:hint="eastAsia" w:ascii="仿宋_GB2312" w:eastAsia="仿宋_GB2312"/>
          <w:sz w:val="30"/>
          <w:szCs w:val="30"/>
          <w:lang w:eastAsia="zh-CN"/>
        </w:rPr>
        <w:t>、</w:t>
      </w:r>
      <w:r>
        <w:rPr>
          <w:rFonts w:hint="eastAsia" w:ascii="仿宋_GB2312" w:eastAsia="仿宋_GB2312"/>
          <w:sz w:val="30"/>
          <w:szCs w:val="30"/>
        </w:rPr>
        <w:t>史福艳</w:t>
      </w:r>
      <w:r>
        <w:rPr>
          <w:rFonts w:hint="eastAsia" w:ascii="仿宋_GB2312" w:eastAsia="仿宋_GB2312"/>
          <w:sz w:val="30"/>
          <w:szCs w:val="30"/>
          <w:lang w:eastAsia="zh-CN"/>
        </w:rPr>
        <w:t>、</w:t>
      </w:r>
      <w:r>
        <w:rPr>
          <w:rFonts w:hint="eastAsia" w:ascii="仿宋_GB2312" w:eastAsia="仿宋_GB2312"/>
          <w:sz w:val="30"/>
          <w:szCs w:val="30"/>
        </w:rPr>
        <w:t>王  洋</w:t>
      </w:r>
      <w:bookmarkStart w:id="0" w:name="_GoBack"/>
      <w:bookmarkEnd w:id="0"/>
    </w:p>
    <w:p>
      <w:pPr>
        <w:adjustRightInd w:val="0"/>
        <w:snapToGrid w:val="0"/>
        <w:spacing w:before="156" w:beforeLines="50" w:after="156" w:afterLines="50" w:line="360" w:lineRule="auto"/>
        <w:ind w:firstLine="600" w:firstLineChars="200"/>
        <w:jc w:val="center"/>
        <w:rPr>
          <w:rFonts w:ascii="仿宋_GB2312" w:eastAsia="仿宋_GB2312"/>
          <w:sz w:val="30"/>
          <w:szCs w:val="30"/>
        </w:rPr>
      </w:pPr>
      <w:r>
        <w:rPr>
          <w:rFonts w:hint="eastAsia" w:ascii="仿宋_GB2312" w:eastAsia="仿宋_GB2312"/>
          <w:sz w:val="30"/>
          <w:szCs w:val="30"/>
        </w:rPr>
        <w:t>第四章  申报评选程序</w:t>
      </w:r>
    </w:p>
    <w:p>
      <w:pPr>
        <w:adjustRightInd w:val="0"/>
        <w:snapToGrid w:val="0"/>
        <w:spacing w:before="156" w:beforeLines="50" w:after="156" w:afterLines="50" w:line="360" w:lineRule="auto"/>
        <w:ind w:firstLine="600" w:firstLineChars="200"/>
        <w:rPr>
          <w:rFonts w:ascii="仿宋_GB2312" w:eastAsia="仿宋_GB2312"/>
          <w:sz w:val="30"/>
          <w:szCs w:val="30"/>
        </w:rPr>
      </w:pPr>
      <w:r>
        <w:rPr>
          <w:rFonts w:hint="eastAsia" w:ascii="仿宋_GB2312" w:eastAsia="仿宋_GB2312"/>
          <w:sz w:val="30"/>
          <w:szCs w:val="30"/>
        </w:rPr>
        <w:t>第九条 自愿申请。动科学院研究生学业奖学金依据自愿申请的原则进行评选。申请者应根据学校的相关通知要求，主动、按时向动科学院奖学金评委会提出申请。</w:t>
      </w:r>
    </w:p>
    <w:p>
      <w:pPr>
        <w:adjustRightInd w:val="0"/>
        <w:snapToGrid w:val="0"/>
        <w:spacing w:before="156" w:beforeLines="50" w:after="156" w:afterLines="50" w:line="360" w:lineRule="auto"/>
        <w:ind w:firstLine="600" w:firstLineChars="200"/>
        <w:rPr>
          <w:rFonts w:ascii="仿宋_GB2312" w:eastAsia="仿宋_GB2312"/>
          <w:sz w:val="30"/>
          <w:szCs w:val="30"/>
        </w:rPr>
      </w:pPr>
      <w:r>
        <w:rPr>
          <w:rFonts w:hint="eastAsia" w:ascii="仿宋_GB2312" w:eastAsia="仿宋_GB2312"/>
          <w:sz w:val="30"/>
          <w:szCs w:val="30"/>
        </w:rPr>
        <w:t>第十条 材料提供。凡申请研究生学业奖学金者，本人须如实填写《青岛农业大学学业奖学金评审表》（登录研究生处主页，点击学籍管理下载），提交能够证明其材料真实性的相关附件，如：成绩单、论文原件及复印件、各类获奖证书原件及复印件等，以及申请者认为能够证明其思想品德和学术能力的其他材料的原件及复印件，在规定时间内，材料提供不完整或不能按时提供相关材料者，将视为自动放弃参评资格。</w:t>
      </w:r>
    </w:p>
    <w:p>
      <w:pPr>
        <w:adjustRightInd w:val="0"/>
        <w:snapToGrid w:val="0"/>
        <w:spacing w:line="360" w:lineRule="auto"/>
        <w:ind w:firstLine="600" w:firstLineChars="200"/>
        <w:rPr>
          <w:rFonts w:hint="eastAsia" w:ascii="仿宋_GB2312" w:eastAsia="仿宋_GB2312"/>
          <w:sz w:val="30"/>
          <w:szCs w:val="30"/>
        </w:rPr>
      </w:pPr>
      <w:r>
        <w:rPr>
          <w:rFonts w:hint="eastAsia" w:ascii="仿宋_GB2312" w:eastAsia="仿宋_GB2312"/>
          <w:sz w:val="30"/>
          <w:szCs w:val="30"/>
        </w:rPr>
        <w:t>第十一条 结果公示。学院评审委员会进行评审，并将评审结果公示2个工作日，无异议后报研究生部。</w:t>
      </w:r>
    </w:p>
    <w:p>
      <w:pPr>
        <w:adjustRightInd w:val="0"/>
        <w:snapToGrid w:val="0"/>
        <w:spacing w:before="156" w:beforeLines="50" w:after="156" w:afterLines="50" w:line="360" w:lineRule="auto"/>
        <w:ind w:firstLine="600" w:firstLineChars="200"/>
        <w:rPr>
          <w:rFonts w:ascii="仿宋_GB2312" w:eastAsia="仿宋_GB2312"/>
          <w:sz w:val="30"/>
          <w:szCs w:val="30"/>
        </w:rPr>
      </w:pPr>
      <w:r>
        <w:rPr>
          <w:rFonts w:hint="eastAsia" w:ascii="仿宋_GB2312" w:eastAsia="仿宋_GB2312"/>
          <w:sz w:val="30"/>
          <w:szCs w:val="30"/>
        </w:rPr>
        <w:t>第十二条 如发现申请者有弄虚作假行为，动科学院学业奖学金评委会将报请校研究生学业奖学金评审委员会，建议降低其在校期间申请研究生学业奖学金的资格，追回其已经获得的研究生学业奖学金，并按校纪校规作进一步处理。</w:t>
      </w:r>
    </w:p>
    <w:p>
      <w:pPr>
        <w:adjustRightInd w:val="0"/>
        <w:snapToGrid w:val="0"/>
        <w:spacing w:before="156" w:beforeLines="50" w:after="156" w:afterLines="50" w:line="360" w:lineRule="auto"/>
        <w:ind w:firstLine="600" w:firstLineChars="200"/>
        <w:jc w:val="center"/>
        <w:rPr>
          <w:rFonts w:ascii="仿宋_GB2312" w:eastAsia="仿宋_GB2312"/>
          <w:sz w:val="30"/>
          <w:szCs w:val="30"/>
        </w:rPr>
      </w:pPr>
      <w:r>
        <w:rPr>
          <w:rFonts w:hint="eastAsia" w:ascii="仿宋_GB2312" w:eastAsia="仿宋_GB2312"/>
          <w:sz w:val="30"/>
          <w:szCs w:val="30"/>
        </w:rPr>
        <w:t>第五章  附则</w:t>
      </w:r>
    </w:p>
    <w:p>
      <w:pPr>
        <w:adjustRightInd w:val="0"/>
        <w:snapToGrid w:val="0"/>
        <w:spacing w:before="156" w:beforeLines="50" w:after="156" w:afterLines="50" w:line="360" w:lineRule="auto"/>
        <w:ind w:firstLine="600" w:firstLineChars="200"/>
        <w:rPr>
          <w:rFonts w:ascii="仿宋_GB2312" w:eastAsia="仿宋_GB2312"/>
          <w:sz w:val="30"/>
          <w:szCs w:val="30"/>
        </w:rPr>
      </w:pPr>
      <w:r>
        <w:rPr>
          <w:rFonts w:hint="eastAsia" w:ascii="仿宋_GB2312" w:eastAsia="仿宋_GB2312"/>
          <w:sz w:val="30"/>
          <w:szCs w:val="30"/>
        </w:rPr>
        <w:t>第十三条  本办法由动物科技学院负责解释。</w:t>
      </w:r>
    </w:p>
    <w:p>
      <w:pPr>
        <w:adjustRightInd w:val="0"/>
        <w:snapToGrid w:val="0"/>
        <w:spacing w:before="156" w:beforeLines="50" w:after="156" w:afterLines="50" w:line="360" w:lineRule="auto"/>
        <w:ind w:firstLine="600" w:firstLineChars="200"/>
        <w:rPr>
          <w:rFonts w:ascii="仿宋_GB2312" w:eastAsia="仿宋_GB2312"/>
          <w:sz w:val="30"/>
          <w:szCs w:val="30"/>
        </w:rPr>
      </w:pPr>
      <w:r>
        <w:rPr>
          <w:rFonts w:hint="eastAsia" w:ascii="仿宋_GB2312" w:eastAsia="仿宋_GB2312"/>
          <w:sz w:val="30"/>
          <w:szCs w:val="30"/>
        </w:rPr>
        <w:t>第十四条  本办法自公布之日起施行。</w:t>
      </w:r>
    </w:p>
    <w:p>
      <w:pPr>
        <w:adjustRightInd w:val="0"/>
        <w:snapToGrid w:val="0"/>
        <w:spacing w:before="156" w:beforeLines="50" w:after="156" w:afterLines="50" w:line="360" w:lineRule="auto"/>
        <w:ind w:firstLine="600" w:firstLineChars="200"/>
        <w:jc w:val="right"/>
        <w:rPr>
          <w:rFonts w:hint="eastAsia" w:ascii="仿宋_GB2312" w:eastAsia="仿宋_GB2312"/>
          <w:sz w:val="30"/>
          <w:szCs w:val="30"/>
        </w:rPr>
      </w:pPr>
      <w:r>
        <w:rPr>
          <w:rFonts w:hint="eastAsia" w:ascii="仿宋_GB2312" w:eastAsia="仿宋_GB2312"/>
          <w:sz w:val="30"/>
          <w:szCs w:val="30"/>
        </w:rPr>
        <w:t>二0一</w:t>
      </w:r>
      <w:r>
        <w:rPr>
          <w:rFonts w:hint="eastAsia" w:ascii="仿宋_GB2312" w:eastAsia="仿宋_GB2312"/>
          <w:sz w:val="30"/>
          <w:szCs w:val="30"/>
          <w:lang w:eastAsia="zh-CN"/>
        </w:rPr>
        <w:t>五</w:t>
      </w:r>
      <w:r>
        <w:rPr>
          <w:rFonts w:hint="eastAsia" w:ascii="仿宋_GB2312" w:eastAsia="仿宋_GB2312"/>
          <w:sz w:val="30"/>
          <w:szCs w:val="30"/>
        </w:rPr>
        <w:t>年十月二十五日</w:t>
      </w:r>
    </w:p>
    <w:p>
      <w:pPr>
        <w:adjustRightInd w:val="0"/>
        <w:snapToGrid w:val="0"/>
        <w:spacing w:before="156" w:beforeLines="50" w:after="156" w:afterLines="50" w:line="360" w:lineRule="auto"/>
        <w:ind w:firstLine="600" w:firstLineChars="200"/>
        <w:jc w:val="right"/>
        <w:rPr>
          <w:rFonts w:hint="eastAsia" w:ascii="仿宋_GB2312" w:eastAsia="仿宋_GB2312"/>
          <w:sz w:val="30"/>
          <w:szCs w:val="30"/>
        </w:rPr>
      </w:pPr>
    </w:p>
    <w:p>
      <w:pPr>
        <w:adjustRightInd w:val="0"/>
        <w:snapToGrid w:val="0"/>
        <w:spacing w:before="156" w:beforeLines="50" w:after="156" w:afterLines="50" w:line="360" w:lineRule="auto"/>
        <w:ind w:firstLine="600" w:firstLineChars="200"/>
        <w:jc w:val="left"/>
        <w:rPr>
          <w:rFonts w:hint="eastAsia" w:ascii="仿宋_GB2312" w:eastAsia="仿宋_GB2312"/>
          <w:sz w:val="30"/>
          <w:szCs w:val="30"/>
          <w:lang w:eastAsia="zh-CN"/>
        </w:rPr>
      </w:pPr>
      <w:r>
        <w:rPr>
          <w:rFonts w:hint="eastAsia" w:ascii="仿宋_GB2312" w:eastAsia="仿宋_GB2312"/>
          <w:sz w:val="30"/>
          <w:szCs w:val="30"/>
          <w:lang w:eastAsia="zh-CN"/>
        </w:rPr>
        <w:t>附：</w:t>
      </w:r>
      <w:r>
        <w:rPr>
          <w:rFonts w:hint="eastAsia" w:ascii="仿宋_GB2312" w:eastAsia="仿宋_GB2312"/>
          <w:sz w:val="30"/>
          <w:szCs w:val="30"/>
          <w:lang w:val="en-US" w:eastAsia="zh-CN"/>
        </w:rPr>
        <w:t>2015级研究生</w:t>
      </w:r>
      <w:r>
        <w:rPr>
          <w:rFonts w:hint="eastAsia" w:ascii="仿宋_GB2312" w:eastAsia="仿宋_GB2312"/>
          <w:sz w:val="30"/>
          <w:szCs w:val="30"/>
          <w:lang w:eastAsia="zh-CN"/>
        </w:rPr>
        <w:t>学业奖学金名额分配</w:t>
      </w:r>
    </w:p>
    <w:p>
      <w:pPr>
        <w:adjustRightInd w:val="0"/>
        <w:snapToGrid w:val="0"/>
        <w:spacing w:before="156" w:beforeLines="50" w:after="156" w:afterLines="50" w:line="360" w:lineRule="auto"/>
        <w:ind w:firstLine="600" w:firstLineChars="200"/>
        <w:jc w:val="left"/>
        <w:rPr>
          <w:rFonts w:hint="eastAsia" w:ascii="仿宋_GB2312" w:eastAsia="仿宋_GB2312"/>
          <w:sz w:val="30"/>
          <w:szCs w:val="30"/>
          <w:lang w:eastAsia="zh-CN"/>
        </w:rPr>
      </w:pP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研究生处学业奖学金名额分配</w:t>
      </w:r>
    </w:p>
    <w:tbl>
      <w:tblPr>
        <w:tblStyle w:val="9"/>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70"/>
        <w:gridCol w:w="2520"/>
        <w:gridCol w:w="915"/>
        <w:gridCol w:w="1305"/>
        <w:gridCol w:w="144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adjustRightInd w:val="0"/>
              <w:snapToGrid w:val="0"/>
              <w:spacing w:before="156" w:beforeLines="50" w:after="156" w:afterLines="50" w:line="360" w:lineRule="auto"/>
              <w:jc w:val="center"/>
              <w:rPr>
                <w:rFonts w:hint="eastAsia" w:ascii="仿宋_GB2312" w:eastAsia="仿宋_GB2312"/>
                <w:sz w:val="30"/>
                <w:szCs w:val="30"/>
                <w:lang w:eastAsia="zh-CN"/>
              </w:rPr>
            </w:pPr>
          </w:p>
        </w:tc>
        <w:tc>
          <w:tcPr>
            <w:tcW w:w="870" w:type="dxa"/>
            <w:vAlign w:val="center"/>
          </w:tcPr>
          <w:p>
            <w:pPr>
              <w:adjustRightInd w:val="0"/>
              <w:snapToGrid w:val="0"/>
              <w:spacing w:before="156" w:beforeLines="50" w:after="156" w:afterLines="50" w:line="360" w:lineRule="auto"/>
              <w:jc w:val="center"/>
              <w:rPr>
                <w:rFonts w:hint="eastAsia" w:ascii="仿宋_GB2312" w:eastAsia="仿宋_GB2312"/>
                <w:sz w:val="30"/>
                <w:szCs w:val="30"/>
                <w:lang w:eastAsia="zh-CN"/>
              </w:rPr>
            </w:pPr>
            <w:r>
              <w:rPr>
                <w:rFonts w:hint="eastAsia" w:ascii="仿宋_GB2312" w:eastAsia="仿宋_GB2312"/>
                <w:sz w:val="30"/>
                <w:szCs w:val="30"/>
                <w:lang w:eastAsia="zh-CN"/>
              </w:rPr>
              <w:t>分类</w:t>
            </w:r>
          </w:p>
        </w:tc>
        <w:tc>
          <w:tcPr>
            <w:tcW w:w="2520" w:type="dxa"/>
            <w:vAlign w:val="center"/>
          </w:tcPr>
          <w:p>
            <w:pPr>
              <w:adjustRightInd w:val="0"/>
              <w:snapToGrid w:val="0"/>
              <w:spacing w:before="156" w:beforeLines="50" w:after="156" w:afterLines="50" w:line="360" w:lineRule="auto"/>
              <w:jc w:val="center"/>
              <w:rPr>
                <w:rFonts w:hint="eastAsia" w:ascii="仿宋_GB2312" w:eastAsia="仿宋_GB2312"/>
                <w:sz w:val="30"/>
                <w:szCs w:val="30"/>
                <w:lang w:eastAsia="zh-CN"/>
              </w:rPr>
            </w:pPr>
            <w:r>
              <w:rPr>
                <w:rFonts w:hint="eastAsia" w:ascii="仿宋_GB2312" w:eastAsia="仿宋_GB2312"/>
                <w:sz w:val="30"/>
                <w:szCs w:val="30"/>
                <w:lang w:eastAsia="zh-CN"/>
              </w:rPr>
              <w:t>专业名称</w:t>
            </w:r>
          </w:p>
        </w:tc>
        <w:tc>
          <w:tcPr>
            <w:tcW w:w="915" w:type="dxa"/>
            <w:vAlign w:val="center"/>
          </w:tcPr>
          <w:p>
            <w:pPr>
              <w:adjustRightInd w:val="0"/>
              <w:snapToGrid w:val="0"/>
              <w:spacing w:before="156" w:beforeLines="50" w:after="156" w:afterLines="50" w:line="360" w:lineRule="auto"/>
              <w:jc w:val="center"/>
              <w:rPr>
                <w:rFonts w:hint="eastAsia" w:ascii="仿宋_GB2312" w:eastAsia="仿宋_GB2312"/>
                <w:sz w:val="30"/>
                <w:szCs w:val="30"/>
                <w:lang w:eastAsia="zh-CN"/>
              </w:rPr>
            </w:pPr>
            <w:r>
              <w:rPr>
                <w:rFonts w:hint="eastAsia" w:ascii="仿宋_GB2312" w:eastAsia="仿宋_GB2312"/>
                <w:sz w:val="30"/>
                <w:szCs w:val="30"/>
                <w:lang w:eastAsia="zh-CN"/>
              </w:rPr>
              <w:t>人数</w:t>
            </w:r>
          </w:p>
        </w:tc>
        <w:tc>
          <w:tcPr>
            <w:tcW w:w="1305" w:type="dxa"/>
            <w:vAlign w:val="center"/>
          </w:tcPr>
          <w:p>
            <w:pPr>
              <w:adjustRightInd w:val="0"/>
              <w:snapToGrid w:val="0"/>
              <w:spacing w:before="156" w:beforeLines="50" w:after="156" w:afterLines="50" w:line="360" w:lineRule="auto"/>
              <w:jc w:val="center"/>
              <w:rPr>
                <w:rFonts w:hint="eastAsia" w:ascii="仿宋_GB2312" w:eastAsia="仿宋_GB2312"/>
                <w:sz w:val="30"/>
                <w:szCs w:val="30"/>
                <w:lang w:eastAsia="zh-CN"/>
              </w:rPr>
            </w:pPr>
            <w:r>
              <w:rPr>
                <w:rFonts w:hint="eastAsia" w:ascii="仿宋_GB2312" w:eastAsia="仿宋_GB2312"/>
                <w:sz w:val="30"/>
                <w:szCs w:val="30"/>
                <w:lang w:eastAsia="zh-CN"/>
              </w:rPr>
              <w:t>一等</w:t>
            </w:r>
          </w:p>
          <w:p>
            <w:pPr>
              <w:adjustRightInd w:val="0"/>
              <w:snapToGrid w:val="0"/>
              <w:spacing w:before="156" w:beforeLines="50" w:after="156" w:afterLines="50" w:line="360" w:lineRule="auto"/>
              <w:jc w:val="center"/>
              <w:rPr>
                <w:rFonts w:hint="eastAsia" w:ascii="仿宋_GB2312" w:eastAsia="仿宋_GB2312"/>
                <w:sz w:val="30"/>
                <w:szCs w:val="30"/>
                <w:lang w:eastAsia="zh-CN"/>
              </w:rPr>
            </w:pPr>
            <w:r>
              <w:rPr>
                <w:rFonts w:hint="eastAsia" w:ascii="仿宋_GB2312" w:eastAsia="仿宋_GB2312"/>
                <w:sz w:val="30"/>
                <w:szCs w:val="30"/>
                <w:lang w:eastAsia="zh-CN"/>
              </w:rPr>
              <w:t>奖学金</w:t>
            </w:r>
          </w:p>
        </w:tc>
        <w:tc>
          <w:tcPr>
            <w:tcW w:w="1440" w:type="dxa"/>
            <w:vAlign w:val="center"/>
          </w:tcPr>
          <w:p>
            <w:pPr>
              <w:adjustRightInd w:val="0"/>
              <w:snapToGrid w:val="0"/>
              <w:spacing w:before="156" w:beforeLines="50" w:after="156" w:afterLines="50" w:line="360" w:lineRule="auto"/>
              <w:jc w:val="center"/>
              <w:rPr>
                <w:rFonts w:hint="eastAsia" w:ascii="仿宋_GB2312" w:eastAsia="仿宋_GB2312"/>
                <w:sz w:val="30"/>
                <w:szCs w:val="30"/>
                <w:lang w:eastAsia="zh-CN"/>
              </w:rPr>
            </w:pPr>
            <w:r>
              <w:rPr>
                <w:rFonts w:hint="eastAsia" w:ascii="仿宋_GB2312" w:eastAsia="仿宋_GB2312"/>
                <w:sz w:val="30"/>
                <w:szCs w:val="30"/>
                <w:lang w:eastAsia="zh-CN"/>
              </w:rPr>
              <w:t>二等</w:t>
            </w:r>
          </w:p>
          <w:p>
            <w:pPr>
              <w:adjustRightInd w:val="0"/>
              <w:snapToGrid w:val="0"/>
              <w:spacing w:before="156" w:beforeLines="50" w:after="156" w:afterLines="50" w:line="360" w:lineRule="auto"/>
              <w:jc w:val="center"/>
              <w:rPr>
                <w:rFonts w:hint="eastAsia" w:ascii="仿宋_GB2312" w:eastAsia="仿宋_GB2312"/>
                <w:sz w:val="30"/>
                <w:szCs w:val="30"/>
                <w:lang w:eastAsia="zh-CN"/>
              </w:rPr>
            </w:pPr>
            <w:r>
              <w:rPr>
                <w:rFonts w:hint="eastAsia" w:ascii="仿宋_GB2312" w:eastAsia="仿宋_GB2312"/>
                <w:sz w:val="30"/>
                <w:szCs w:val="30"/>
                <w:lang w:eastAsia="zh-CN"/>
              </w:rPr>
              <w:t>奖学金</w:t>
            </w:r>
          </w:p>
        </w:tc>
        <w:tc>
          <w:tcPr>
            <w:tcW w:w="1535" w:type="dxa"/>
            <w:vAlign w:val="center"/>
          </w:tcPr>
          <w:p>
            <w:pPr>
              <w:adjustRightInd w:val="0"/>
              <w:snapToGrid w:val="0"/>
              <w:spacing w:before="156" w:beforeLines="50" w:after="156" w:afterLines="50" w:line="360" w:lineRule="auto"/>
              <w:jc w:val="center"/>
              <w:rPr>
                <w:rFonts w:hint="eastAsia" w:ascii="仿宋_GB2312" w:eastAsia="仿宋_GB2312"/>
                <w:sz w:val="30"/>
                <w:szCs w:val="30"/>
                <w:lang w:eastAsia="zh-CN"/>
              </w:rPr>
            </w:pPr>
            <w:r>
              <w:rPr>
                <w:rFonts w:hint="eastAsia" w:ascii="仿宋_GB2312" w:eastAsia="仿宋_GB2312"/>
                <w:sz w:val="30"/>
                <w:szCs w:val="30"/>
                <w:lang w:eastAsia="zh-CN"/>
              </w:rPr>
              <w:t>三等</w:t>
            </w:r>
          </w:p>
          <w:p>
            <w:pPr>
              <w:adjustRightInd w:val="0"/>
              <w:snapToGrid w:val="0"/>
              <w:spacing w:before="156" w:beforeLines="50" w:after="156" w:afterLines="50" w:line="360" w:lineRule="auto"/>
              <w:jc w:val="center"/>
              <w:rPr>
                <w:rFonts w:hint="eastAsia" w:ascii="仿宋_GB2312" w:eastAsia="仿宋_GB2312"/>
                <w:sz w:val="30"/>
                <w:szCs w:val="30"/>
                <w:lang w:eastAsia="zh-CN"/>
              </w:rPr>
            </w:pPr>
            <w:r>
              <w:rPr>
                <w:rFonts w:hint="eastAsia" w:ascii="仿宋_GB2312" w:eastAsia="仿宋_GB2312"/>
                <w:sz w:val="30"/>
                <w:szCs w:val="30"/>
                <w:lang w:eastAsia="zh-CN"/>
              </w:rPr>
              <w:t>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1" w:type="dxa"/>
            <w:vMerge w:val="restart"/>
            <w:textDirection w:val="tbLrV"/>
            <w:vAlign w:val="center"/>
          </w:tcPr>
          <w:p>
            <w:pPr>
              <w:adjustRightInd w:val="0"/>
              <w:snapToGrid w:val="0"/>
              <w:spacing w:before="156" w:beforeLines="50" w:after="156" w:afterLines="50" w:line="360" w:lineRule="auto"/>
              <w:ind w:left="113" w:right="113"/>
              <w:jc w:val="center"/>
              <w:rPr>
                <w:rFonts w:hint="eastAsia" w:ascii="仿宋_GB2312" w:eastAsia="仿宋_GB2312"/>
                <w:sz w:val="30"/>
                <w:szCs w:val="30"/>
                <w:lang w:eastAsia="zh-CN"/>
              </w:rPr>
            </w:pPr>
            <w:r>
              <w:rPr>
                <w:rFonts w:hint="eastAsia" w:ascii="仿宋_GB2312" w:eastAsia="仿宋_GB2312"/>
                <w:sz w:val="30"/>
                <w:szCs w:val="30"/>
                <w:lang w:eastAsia="zh-CN"/>
              </w:rPr>
              <w:t>学硕</w:t>
            </w:r>
          </w:p>
        </w:tc>
        <w:tc>
          <w:tcPr>
            <w:tcW w:w="870" w:type="dxa"/>
            <w:textDirection w:val="tbLrV"/>
            <w:vAlign w:val="center"/>
          </w:tcPr>
          <w:p>
            <w:pPr>
              <w:adjustRightInd w:val="0"/>
              <w:snapToGrid w:val="0"/>
              <w:spacing w:before="156" w:beforeLines="50" w:after="156" w:afterLines="50" w:line="360" w:lineRule="auto"/>
              <w:ind w:left="113" w:right="113"/>
              <w:jc w:val="center"/>
              <w:rPr>
                <w:rFonts w:hint="eastAsia" w:ascii="仿宋_GB2312" w:eastAsia="仿宋_GB2312"/>
                <w:sz w:val="30"/>
                <w:szCs w:val="30"/>
                <w:lang w:eastAsia="zh-CN"/>
              </w:rPr>
            </w:pPr>
            <w:r>
              <w:rPr>
                <w:rFonts w:hint="eastAsia" w:ascii="仿宋_GB2312" w:eastAsia="仿宋_GB2312"/>
                <w:sz w:val="30"/>
                <w:szCs w:val="30"/>
                <w:lang w:eastAsia="zh-CN"/>
              </w:rPr>
              <w:t>兽医类</w:t>
            </w:r>
          </w:p>
        </w:tc>
        <w:tc>
          <w:tcPr>
            <w:tcW w:w="2520" w:type="dxa"/>
            <w:vAlign w:val="top"/>
          </w:tcPr>
          <w:p>
            <w:pPr>
              <w:adjustRightInd w:val="0"/>
              <w:snapToGrid w:val="0"/>
              <w:spacing w:before="156" w:beforeLines="50" w:after="156" w:afterLines="50" w:line="360" w:lineRule="auto"/>
              <w:jc w:val="left"/>
              <w:rPr>
                <w:rFonts w:hint="eastAsia" w:ascii="仿宋_GB2312" w:eastAsia="仿宋_GB2312"/>
                <w:sz w:val="24"/>
                <w:szCs w:val="24"/>
                <w:lang w:eastAsia="zh-CN"/>
              </w:rPr>
            </w:pPr>
            <w:r>
              <w:rPr>
                <w:rFonts w:hint="eastAsia" w:ascii="仿宋_GB2312" w:eastAsia="仿宋_GB2312"/>
                <w:sz w:val="24"/>
                <w:szCs w:val="24"/>
                <w:lang w:eastAsia="zh-CN"/>
              </w:rPr>
              <w:t>预防兽医学</w:t>
            </w:r>
          </w:p>
          <w:p>
            <w:pPr>
              <w:adjustRightInd w:val="0"/>
              <w:snapToGrid w:val="0"/>
              <w:spacing w:before="156" w:beforeLines="50" w:after="156" w:afterLines="50" w:line="360" w:lineRule="auto"/>
              <w:jc w:val="left"/>
              <w:rPr>
                <w:rFonts w:hint="eastAsia" w:ascii="仿宋_GB2312" w:eastAsia="仿宋_GB2312"/>
                <w:sz w:val="24"/>
                <w:szCs w:val="24"/>
                <w:lang w:eastAsia="zh-CN"/>
              </w:rPr>
            </w:pPr>
            <w:r>
              <w:rPr>
                <w:rFonts w:hint="eastAsia" w:ascii="仿宋_GB2312" w:eastAsia="仿宋_GB2312"/>
                <w:sz w:val="24"/>
                <w:szCs w:val="24"/>
                <w:lang w:eastAsia="zh-CN"/>
              </w:rPr>
              <w:t>临床兽医学</w:t>
            </w:r>
          </w:p>
          <w:p>
            <w:pPr>
              <w:adjustRightInd w:val="0"/>
              <w:snapToGrid w:val="0"/>
              <w:spacing w:before="156" w:beforeLines="50" w:after="156" w:afterLines="50" w:line="360" w:lineRule="auto"/>
              <w:jc w:val="left"/>
              <w:rPr>
                <w:rFonts w:hint="eastAsia" w:ascii="仿宋_GB2312" w:eastAsia="仿宋_GB2312"/>
                <w:sz w:val="24"/>
                <w:szCs w:val="24"/>
                <w:lang w:eastAsia="zh-CN"/>
              </w:rPr>
            </w:pPr>
            <w:r>
              <w:rPr>
                <w:rFonts w:hint="eastAsia" w:ascii="仿宋_GB2312" w:eastAsia="仿宋_GB2312"/>
                <w:sz w:val="24"/>
                <w:szCs w:val="24"/>
                <w:lang w:eastAsia="zh-CN"/>
              </w:rPr>
              <w:t>基础兽医学</w:t>
            </w:r>
          </w:p>
        </w:tc>
        <w:tc>
          <w:tcPr>
            <w:tcW w:w="915" w:type="dxa"/>
            <w:vAlign w:val="center"/>
          </w:tcPr>
          <w:p>
            <w:pPr>
              <w:adjustRightInd w:val="0"/>
              <w:snapToGrid w:val="0"/>
              <w:spacing w:before="156" w:beforeLines="50" w:after="156" w:afterLines="50" w:line="360" w:lineRule="auto"/>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23人</w:t>
            </w:r>
          </w:p>
        </w:tc>
        <w:tc>
          <w:tcPr>
            <w:tcW w:w="1305" w:type="dxa"/>
            <w:vAlign w:val="center"/>
          </w:tcPr>
          <w:p>
            <w:pPr>
              <w:adjustRightInd w:val="0"/>
              <w:snapToGrid w:val="0"/>
              <w:spacing w:before="156" w:beforeLines="50" w:after="156" w:afterLines="50" w:line="360" w:lineRule="auto"/>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2人</w:t>
            </w:r>
          </w:p>
        </w:tc>
        <w:tc>
          <w:tcPr>
            <w:tcW w:w="1440" w:type="dxa"/>
            <w:vAlign w:val="center"/>
          </w:tcPr>
          <w:p>
            <w:pPr>
              <w:adjustRightInd w:val="0"/>
              <w:snapToGrid w:val="0"/>
              <w:spacing w:before="156" w:beforeLines="50" w:after="156" w:afterLines="50" w:line="360" w:lineRule="auto"/>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4人</w:t>
            </w:r>
          </w:p>
        </w:tc>
        <w:tc>
          <w:tcPr>
            <w:tcW w:w="1535" w:type="dxa"/>
            <w:vAlign w:val="center"/>
          </w:tcPr>
          <w:p>
            <w:pPr>
              <w:adjustRightInd w:val="0"/>
              <w:snapToGrid w:val="0"/>
              <w:spacing w:before="156" w:beforeLines="50" w:after="156" w:afterLines="50" w:line="360" w:lineRule="auto"/>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17人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1" w:type="dxa"/>
            <w:vMerge w:val="continue"/>
            <w:textDirection w:val="tbLrV"/>
            <w:vAlign w:val="center"/>
          </w:tcPr>
          <w:p>
            <w:pPr>
              <w:adjustRightInd w:val="0"/>
              <w:snapToGrid w:val="0"/>
              <w:spacing w:before="156" w:beforeLines="50" w:after="156" w:afterLines="50" w:line="360" w:lineRule="auto"/>
              <w:ind w:left="113" w:right="113"/>
              <w:jc w:val="center"/>
              <w:rPr>
                <w:rFonts w:hint="eastAsia" w:ascii="仿宋_GB2312" w:eastAsia="仿宋_GB2312"/>
                <w:sz w:val="30"/>
                <w:szCs w:val="30"/>
                <w:lang w:eastAsia="zh-CN"/>
              </w:rPr>
            </w:pPr>
          </w:p>
        </w:tc>
        <w:tc>
          <w:tcPr>
            <w:tcW w:w="870" w:type="dxa"/>
            <w:textDirection w:val="tbLrV"/>
            <w:vAlign w:val="center"/>
          </w:tcPr>
          <w:p>
            <w:pPr>
              <w:adjustRightInd w:val="0"/>
              <w:snapToGrid w:val="0"/>
              <w:spacing w:before="156" w:beforeLines="50" w:after="156" w:afterLines="50" w:line="360" w:lineRule="auto"/>
              <w:ind w:left="113" w:right="113"/>
              <w:jc w:val="center"/>
              <w:rPr>
                <w:rFonts w:hint="eastAsia" w:ascii="仿宋_GB2312" w:eastAsia="仿宋_GB2312"/>
                <w:sz w:val="30"/>
                <w:szCs w:val="30"/>
                <w:lang w:eastAsia="zh-CN"/>
              </w:rPr>
            </w:pPr>
            <w:r>
              <w:rPr>
                <w:rFonts w:hint="eastAsia" w:ascii="仿宋_GB2312" w:eastAsia="仿宋_GB2312"/>
                <w:sz w:val="30"/>
                <w:szCs w:val="30"/>
                <w:lang w:eastAsia="zh-CN"/>
              </w:rPr>
              <w:t>畜牧类</w:t>
            </w:r>
          </w:p>
        </w:tc>
        <w:tc>
          <w:tcPr>
            <w:tcW w:w="2520" w:type="dxa"/>
            <w:vAlign w:val="bottom"/>
          </w:tcPr>
          <w:p>
            <w:pPr>
              <w:adjustRightInd w:val="0"/>
              <w:snapToGrid w:val="0"/>
              <w:spacing w:before="156" w:beforeLines="50" w:after="156" w:afterLines="50" w:line="360" w:lineRule="auto"/>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动物遗传育种与繁殖</w:t>
            </w:r>
          </w:p>
          <w:p>
            <w:pPr>
              <w:adjustRightInd w:val="0"/>
              <w:snapToGrid w:val="0"/>
              <w:spacing w:before="156" w:beforeLines="50" w:after="156" w:afterLines="50" w:line="360" w:lineRule="auto"/>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草学</w:t>
            </w:r>
          </w:p>
          <w:p>
            <w:pPr>
              <w:adjustRightInd w:val="0"/>
              <w:snapToGrid w:val="0"/>
              <w:spacing w:before="156" w:beforeLines="50" w:after="156" w:afterLines="50" w:line="360" w:lineRule="auto"/>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动物营养与饲料科学</w:t>
            </w:r>
          </w:p>
          <w:p>
            <w:pPr>
              <w:adjustRightInd w:val="0"/>
              <w:snapToGrid w:val="0"/>
              <w:spacing w:before="156" w:beforeLines="50" w:after="156" w:afterLines="50" w:line="360" w:lineRule="auto"/>
              <w:jc w:val="left"/>
              <w:rPr>
                <w:rFonts w:hint="eastAsia" w:ascii="Arial" w:hAnsi="Arial" w:eastAsia="宋体" w:cs="Arial"/>
                <w:i w:val="0"/>
                <w:color w:val="000000"/>
                <w:kern w:val="0"/>
                <w:sz w:val="24"/>
                <w:szCs w:val="24"/>
                <w:u w:val="none"/>
                <w:lang w:val="en-US" w:eastAsia="zh-CN" w:bidi="ar-SA"/>
              </w:rPr>
            </w:pPr>
            <w:r>
              <w:rPr>
                <w:rFonts w:hint="eastAsia" w:ascii="仿宋_GB2312" w:eastAsia="仿宋_GB2312"/>
                <w:sz w:val="24"/>
                <w:szCs w:val="24"/>
                <w:lang w:val="en-US" w:eastAsia="zh-CN"/>
              </w:rPr>
              <w:t>特种经济动物饲养</w:t>
            </w:r>
          </w:p>
        </w:tc>
        <w:tc>
          <w:tcPr>
            <w:tcW w:w="915" w:type="dxa"/>
            <w:vAlign w:val="center"/>
          </w:tcPr>
          <w:p>
            <w:pPr>
              <w:adjustRightInd w:val="0"/>
              <w:snapToGrid w:val="0"/>
              <w:spacing w:before="156" w:beforeLines="50" w:after="156" w:afterLines="50" w:line="360" w:lineRule="auto"/>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25人</w:t>
            </w:r>
          </w:p>
        </w:tc>
        <w:tc>
          <w:tcPr>
            <w:tcW w:w="1305" w:type="dxa"/>
            <w:vAlign w:val="center"/>
          </w:tcPr>
          <w:p>
            <w:pPr>
              <w:adjustRightInd w:val="0"/>
              <w:snapToGrid w:val="0"/>
              <w:spacing w:before="156" w:beforeLines="50" w:after="156" w:afterLines="50" w:line="360" w:lineRule="auto"/>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3人</w:t>
            </w:r>
          </w:p>
        </w:tc>
        <w:tc>
          <w:tcPr>
            <w:tcW w:w="1440" w:type="dxa"/>
            <w:vAlign w:val="center"/>
          </w:tcPr>
          <w:p>
            <w:pPr>
              <w:adjustRightInd w:val="0"/>
              <w:snapToGrid w:val="0"/>
              <w:spacing w:before="156" w:beforeLines="50" w:after="156" w:afterLines="50" w:line="360" w:lineRule="auto"/>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3人</w:t>
            </w:r>
          </w:p>
        </w:tc>
        <w:tc>
          <w:tcPr>
            <w:tcW w:w="1535" w:type="dxa"/>
            <w:vAlign w:val="center"/>
          </w:tcPr>
          <w:p>
            <w:pPr>
              <w:adjustRightInd w:val="0"/>
              <w:snapToGrid w:val="0"/>
              <w:spacing w:before="156" w:beforeLines="50" w:after="156" w:afterLines="50" w:line="360" w:lineRule="auto"/>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19人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701" w:type="dxa"/>
            <w:textDirection w:val="tbLrV"/>
            <w:vAlign w:val="center"/>
          </w:tcPr>
          <w:p>
            <w:pPr>
              <w:adjustRightInd w:val="0"/>
              <w:snapToGrid w:val="0"/>
              <w:spacing w:before="156" w:beforeLines="50" w:after="156" w:afterLines="50" w:line="360" w:lineRule="auto"/>
              <w:ind w:left="113" w:right="113"/>
              <w:jc w:val="center"/>
              <w:rPr>
                <w:rFonts w:hint="eastAsia" w:ascii="仿宋_GB2312" w:eastAsia="仿宋_GB2312"/>
                <w:sz w:val="30"/>
                <w:szCs w:val="30"/>
                <w:lang w:eastAsia="zh-CN"/>
              </w:rPr>
            </w:pPr>
            <w:r>
              <w:rPr>
                <w:rFonts w:hint="eastAsia" w:ascii="仿宋_GB2312" w:eastAsia="仿宋_GB2312"/>
                <w:sz w:val="30"/>
                <w:szCs w:val="30"/>
                <w:lang w:eastAsia="zh-CN"/>
              </w:rPr>
              <w:t>专硕</w:t>
            </w:r>
          </w:p>
        </w:tc>
        <w:tc>
          <w:tcPr>
            <w:tcW w:w="870" w:type="dxa"/>
            <w:vAlign w:val="top"/>
          </w:tcPr>
          <w:p>
            <w:pPr>
              <w:adjustRightInd w:val="0"/>
              <w:snapToGrid w:val="0"/>
              <w:spacing w:before="156" w:beforeLines="50" w:after="156" w:afterLines="50" w:line="360" w:lineRule="auto"/>
              <w:jc w:val="left"/>
              <w:rPr>
                <w:rFonts w:hint="eastAsia" w:ascii="仿宋_GB2312" w:eastAsia="仿宋_GB2312"/>
                <w:sz w:val="24"/>
                <w:szCs w:val="24"/>
                <w:lang w:eastAsia="zh-CN"/>
              </w:rPr>
            </w:pPr>
          </w:p>
        </w:tc>
        <w:tc>
          <w:tcPr>
            <w:tcW w:w="2520" w:type="dxa"/>
            <w:vAlign w:val="top"/>
          </w:tcPr>
          <w:p>
            <w:pPr>
              <w:adjustRightInd w:val="0"/>
              <w:snapToGrid w:val="0"/>
              <w:spacing w:before="156" w:beforeLines="50" w:after="156" w:afterLines="50" w:line="360" w:lineRule="auto"/>
              <w:jc w:val="left"/>
              <w:rPr>
                <w:rFonts w:hint="eastAsia" w:ascii="仿宋_GB2312" w:eastAsia="仿宋_GB2312"/>
                <w:sz w:val="24"/>
                <w:szCs w:val="24"/>
                <w:lang w:eastAsia="zh-CN"/>
              </w:rPr>
            </w:pPr>
            <w:r>
              <w:rPr>
                <w:rFonts w:hint="eastAsia" w:ascii="仿宋_GB2312" w:eastAsia="仿宋_GB2312"/>
                <w:sz w:val="24"/>
                <w:szCs w:val="24"/>
                <w:lang w:eastAsia="zh-CN"/>
              </w:rPr>
              <w:t>养殖</w:t>
            </w:r>
          </w:p>
          <w:p>
            <w:pPr>
              <w:adjustRightInd w:val="0"/>
              <w:snapToGrid w:val="0"/>
              <w:spacing w:before="156" w:beforeLines="50" w:after="156" w:afterLines="50" w:line="360" w:lineRule="auto"/>
              <w:jc w:val="left"/>
              <w:rPr>
                <w:rFonts w:hint="eastAsia" w:ascii="仿宋_GB2312" w:eastAsia="仿宋_GB2312"/>
                <w:sz w:val="24"/>
                <w:szCs w:val="24"/>
                <w:lang w:eastAsia="zh-CN"/>
              </w:rPr>
            </w:pPr>
            <w:r>
              <w:rPr>
                <w:rFonts w:hint="eastAsia" w:ascii="仿宋_GB2312" w:eastAsia="仿宋_GB2312"/>
                <w:sz w:val="24"/>
                <w:szCs w:val="24"/>
                <w:lang w:eastAsia="zh-CN"/>
              </w:rPr>
              <w:t>兽医</w:t>
            </w:r>
          </w:p>
        </w:tc>
        <w:tc>
          <w:tcPr>
            <w:tcW w:w="915" w:type="dxa"/>
            <w:vAlign w:val="center"/>
          </w:tcPr>
          <w:p>
            <w:pPr>
              <w:adjustRightInd w:val="0"/>
              <w:snapToGrid w:val="0"/>
              <w:spacing w:before="156" w:beforeLines="50" w:after="156" w:afterLines="50" w:line="360" w:lineRule="auto"/>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32人</w:t>
            </w:r>
          </w:p>
        </w:tc>
        <w:tc>
          <w:tcPr>
            <w:tcW w:w="1305" w:type="dxa"/>
            <w:vAlign w:val="center"/>
          </w:tcPr>
          <w:p>
            <w:pPr>
              <w:adjustRightInd w:val="0"/>
              <w:snapToGrid w:val="0"/>
              <w:spacing w:before="156" w:beforeLines="50" w:after="156" w:afterLines="50" w:line="360" w:lineRule="auto"/>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3人</w:t>
            </w:r>
          </w:p>
        </w:tc>
        <w:tc>
          <w:tcPr>
            <w:tcW w:w="1440" w:type="dxa"/>
            <w:vAlign w:val="center"/>
          </w:tcPr>
          <w:p>
            <w:pPr>
              <w:adjustRightInd w:val="0"/>
              <w:snapToGrid w:val="0"/>
              <w:spacing w:before="156" w:beforeLines="50" w:after="156" w:afterLines="50" w:line="360" w:lineRule="auto"/>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5人</w:t>
            </w:r>
          </w:p>
        </w:tc>
        <w:tc>
          <w:tcPr>
            <w:tcW w:w="1535" w:type="dxa"/>
            <w:vAlign w:val="center"/>
          </w:tcPr>
          <w:p>
            <w:pPr>
              <w:adjustRightInd w:val="0"/>
              <w:snapToGrid w:val="0"/>
              <w:spacing w:before="156" w:beforeLines="50" w:after="156" w:afterLines="50" w:line="360" w:lineRule="auto"/>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24人</w:t>
            </w:r>
          </w:p>
        </w:tc>
      </w:tr>
    </w:tbl>
    <w:p>
      <w:pPr>
        <w:adjustRightInd w:val="0"/>
        <w:snapToGrid w:val="0"/>
        <w:spacing w:before="156" w:beforeLines="50" w:after="156" w:afterLines="50" w:line="360" w:lineRule="auto"/>
        <w:ind w:firstLine="600" w:firstLineChars="200"/>
        <w:jc w:val="left"/>
        <w:rPr>
          <w:rFonts w:hint="eastAsia" w:ascii="仿宋_GB2312" w:eastAsia="仿宋_GB2312"/>
          <w:color w:val="000000"/>
          <w:sz w:val="30"/>
          <w:szCs w:val="30"/>
          <w:lang w:eastAsia="zh-CN"/>
        </w:rPr>
      </w:pPr>
      <w:r>
        <w:rPr>
          <w:rFonts w:hint="eastAsia" w:ascii="仿宋_GB2312" w:eastAsia="仿宋_GB2312"/>
          <w:color w:val="000000"/>
          <w:sz w:val="30"/>
          <w:szCs w:val="30"/>
          <w:lang w:eastAsia="zh-CN"/>
        </w:rPr>
        <w:t>注：名额小数点部分按照四舍五入折算。同一专业小数点均超过</w:t>
      </w:r>
      <w:r>
        <w:rPr>
          <w:rFonts w:hint="eastAsia" w:ascii="仿宋_GB2312" w:eastAsia="仿宋_GB2312"/>
          <w:color w:val="000000"/>
          <w:sz w:val="30"/>
          <w:szCs w:val="30"/>
          <w:lang w:val="en-US" w:eastAsia="zh-CN"/>
        </w:rPr>
        <w:t>0.5，在保留一等奖学金名额同时，二等奖学金向小数点次高专业协调。</w:t>
      </w:r>
    </w:p>
    <w:p>
      <w:pPr>
        <w:adjustRightInd w:val="0"/>
        <w:snapToGrid w:val="0"/>
        <w:spacing w:before="156" w:beforeLines="50" w:after="156" w:afterLines="50" w:line="360" w:lineRule="auto"/>
        <w:ind w:firstLine="600" w:firstLineChars="200"/>
        <w:jc w:val="center"/>
        <w:rPr>
          <w:rFonts w:hint="eastAsia" w:ascii="仿宋_GB2312" w:eastAsia="仿宋_GB2312"/>
          <w:sz w:val="30"/>
          <w:szCs w:val="30"/>
          <w:lang w:eastAsia="zh-CN"/>
        </w:rPr>
      </w:pPr>
      <w:r>
        <w:rPr>
          <w:rFonts w:ascii="宋体" w:hAnsi="宋体" w:eastAsia="宋体" w:cs="宋体"/>
          <w:kern w:val="0"/>
          <w:sz w:val="24"/>
          <w:szCs w:val="24"/>
          <w:lang w:val="en-US" w:eastAsia="zh-CN" w:bidi="ar-SA"/>
        </w:rPr>
        <w:fldChar w:fldCharType="begin"/>
      </w:r>
      <w:r>
        <w:rPr>
          <w:rFonts w:ascii="宋体" w:hAnsi="宋体" w:eastAsia="宋体" w:cs="宋体"/>
          <w:kern w:val="0"/>
          <w:sz w:val="24"/>
          <w:szCs w:val="24"/>
          <w:lang w:val="en-US" w:eastAsia="zh-CN" w:bidi="ar-SA"/>
        </w:rPr>
        <w:instrText xml:space="preserve">INCLUDEPICTURE \d "C:\\Users\\ASUS\\Documents\\Tencent Files\\2206256992\\Image\\C2C\\G@2I3177~T~3`6YT1H}E_Z1.png" \* MERGEFORMATINET </w:instrText>
      </w:r>
      <w:r>
        <w:rPr>
          <w:rFonts w:ascii="宋体" w:hAnsi="宋体" w:eastAsia="宋体" w:cs="宋体"/>
          <w:kern w:val="0"/>
          <w:sz w:val="24"/>
          <w:szCs w:val="24"/>
          <w:lang w:val="en-US" w:eastAsia="zh-CN" w:bidi="ar-SA"/>
        </w:rPr>
        <w:fldChar w:fldCharType="separate"/>
      </w:r>
      <w:r>
        <w:rPr>
          <w:rFonts w:ascii="宋体" w:hAnsi="宋体" w:eastAsia="宋体" w:cs="宋体"/>
          <w:kern w:val="0"/>
          <w:sz w:val="24"/>
          <w:szCs w:val="24"/>
          <w:lang w:val="en-US" w:eastAsia="zh-CN" w:bidi="ar-SA"/>
        </w:rPr>
        <w:pict>
          <v:shape id="图片 1" o:spid="_x0000_s1026" type="#_x0000_t75" style="height:206pt;width:446.5pt;rotation:0f;" o:ole="f" fillcolor="#FFFFFF" filled="f" o:preferrelative="t" stroked="f" coordorigin="0,0" coordsize="21600,21600">
            <v:fill on="f" color2="#FFFFFF" focus="0%"/>
            <v:imagedata cropleft="1447f" croptop="4240f" cropright="2576f" gain="65536f" blacklevel="0f" gamma="0" o:title="IMG_256" r:id="rId6"/>
            <o:lock v:ext="edit" position="f" selection="f" grouping="f" rotation="f" cropping="f" text="f" aspectratio="t"/>
            <w10:wrap type="none"/>
            <w10:anchorlock/>
          </v:shape>
        </w:pict>
      </w:r>
      <w:r>
        <w:rPr>
          <w:rFonts w:ascii="宋体" w:hAnsi="宋体" w:eastAsia="宋体" w:cs="宋体"/>
          <w:kern w:val="0"/>
          <w:sz w:val="24"/>
          <w:szCs w:val="24"/>
          <w:lang w:val="en-US" w:eastAsia="zh-CN" w:bidi="ar-SA"/>
        </w:rPr>
        <w:fldChar w:fldCharType="end"/>
      </w:r>
    </w:p>
    <w:sectPr>
      <w:head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96DD3"/>
    <w:rsid w:val="001F6352"/>
    <w:rsid w:val="003405E0"/>
    <w:rsid w:val="003C1442"/>
    <w:rsid w:val="004A42CE"/>
    <w:rsid w:val="004C7967"/>
    <w:rsid w:val="004E74F8"/>
    <w:rsid w:val="00584186"/>
    <w:rsid w:val="007C3D86"/>
    <w:rsid w:val="009C2D68"/>
    <w:rsid w:val="00D00095"/>
    <w:rsid w:val="00F11301"/>
    <w:rsid w:val="1567582C"/>
    <w:rsid w:val="28C25AF5"/>
    <w:rsid w:val="60041A1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6">
    <w:name w:val="Strong"/>
    <w:qFormat/>
    <w:uiPriority w:val="0"/>
    <w:rPr>
      <w:b/>
      <w:bCs/>
    </w:rPr>
  </w:style>
  <w:style w:type="character" w:styleId="7">
    <w:name w:val="Hyperlink"/>
    <w:uiPriority w:val="0"/>
    <w:rPr>
      <w:color w:val="0000FF"/>
      <w:u w:val="single"/>
    </w:rPr>
  </w:style>
  <w:style w:type="table" w:styleId="9">
    <w:name w:val="Table Grid"/>
    <w:basedOn w:val="8"/>
    <w:unhideWhenUsed/>
    <w:uiPriority w:val="9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0">
    <w:name w:val="页眉 Char"/>
    <w:link w:val="3"/>
    <w:uiPriority w:val="0"/>
    <w:rPr>
      <w:rFonts w:eastAsia="宋体"/>
      <w:kern w:val="2"/>
      <w:sz w:val="18"/>
      <w:szCs w:val="18"/>
      <w:lang w:val="en-US" w:eastAsia="zh-CN" w:bidi="ar-SA"/>
    </w:rPr>
  </w:style>
  <w:style w:type="character" w:customStyle="1" w:styleId="11">
    <w:name w:val="页脚 Char"/>
    <w:link w:val="2"/>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223</Words>
  <Characters>1274</Characters>
  <Lines>10</Lines>
  <Paragraphs>2</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2015-08-13T01:51:00Z</dcterms:created>
  <dc:creator>lenovo</dc:creator>
  <cp:lastModifiedBy>ASUS</cp:lastModifiedBy>
  <dcterms:modified xsi:type="dcterms:W3CDTF">2015-10-28T13:04:00Z</dcterms:modified>
  <dc:title>中共青岛农业大学委员会研究生部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